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75B0" w:rsidRDefault="00BC75B0" w:rsidP="00BC75B0">
      <w:pPr>
        <w:adjustRightInd w:val="0"/>
        <w:snapToGrid w:val="0"/>
        <w:spacing w:line="580" w:lineRule="exact"/>
        <w:jc w:val="left"/>
        <w:rPr>
          <w:rFonts w:ascii="黑体" w:eastAsia="黑体" w:hAnsi="黑体" w:cs="黑体"/>
          <w:sz w:val="32"/>
          <w:szCs w:val="28"/>
        </w:rPr>
      </w:pPr>
      <w:r>
        <w:rPr>
          <w:rFonts w:ascii="黑体" w:eastAsia="黑体" w:hAnsi="黑体" w:cs="黑体" w:hint="eastAsia"/>
          <w:sz w:val="32"/>
          <w:szCs w:val="28"/>
        </w:rPr>
        <w:t xml:space="preserve">附件3 </w:t>
      </w:r>
    </w:p>
    <w:p w:rsidR="00BC75B0" w:rsidRDefault="00BC75B0" w:rsidP="00BC75B0">
      <w:pPr>
        <w:adjustRightInd w:val="0"/>
        <w:snapToGrid w:val="0"/>
        <w:spacing w:line="580" w:lineRule="exact"/>
        <w:jc w:val="center"/>
        <w:rPr>
          <w:rFonts w:ascii="创艺简标宋" w:eastAsia="创艺简标宋" w:hAnsi="创艺简标宋" w:cs="创艺简标宋"/>
          <w:sz w:val="44"/>
          <w:szCs w:val="40"/>
        </w:rPr>
      </w:pPr>
      <w:r>
        <w:rPr>
          <w:rFonts w:ascii="创艺简标宋" w:eastAsia="创艺简标宋" w:hAnsi="创艺简标宋" w:cs="创艺简标宋" w:hint="eastAsia"/>
          <w:sz w:val="44"/>
          <w:szCs w:val="40"/>
        </w:rPr>
        <w:t>培训课表</w:t>
      </w:r>
    </w:p>
    <w:p w:rsidR="00BC75B0" w:rsidRDefault="00BC75B0" w:rsidP="00BC75B0">
      <w:pPr>
        <w:adjustRightInd w:val="0"/>
        <w:snapToGrid w:val="0"/>
        <w:spacing w:afterLines="50" w:after="156" w:line="580" w:lineRule="exact"/>
        <w:jc w:val="center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（具体课程以实际安排为准）</w:t>
      </w:r>
    </w:p>
    <w:tbl>
      <w:tblPr>
        <w:tblStyle w:val="a5"/>
        <w:tblW w:w="9219" w:type="dxa"/>
        <w:tblLook w:val="04A0" w:firstRow="1" w:lastRow="0" w:firstColumn="1" w:lastColumn="0" w:noHBand="0" w:noVBand="1"/>
      </w:tblPr>
      <w:tblGrid>
        <w:gridCol w:w="3263"/>
        <w:gridCol w:w="5956"/>
      </w:tblGrid>
      <w:tr w:rsidR="00BC75B0" w:rsidTr="00B908C2">
        <w:tc>
          <w:tcPr>
            <w:tcW w:w="3263" w:type="dxa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28"/>
              </w:rPr>
              <w:t>专题</w:t>
            </w:r>
          </w:p>
        </w:tc>
        <w:tc>
          <w:tcPr>
            <w:tcW w:w="5956" w:type="dxa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28"/>
              </w:rPr>
              <w:t>讲师</w:t>
            </w:r>
          </w:p>
        </w:tc>
      </w:tr>
      <w:tr w:rsidR="00BC75B0" w:rsidTr="00B908C2">
        <w:trPr>
          <w:trHeight w:val="90"/>
        </w:trPr>
        <w:tc>
          <w:tcPr>
            <w:tcW w:w="3263" w:type="dxa"/>
            <w:vAlign w:val="center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法律思维的四个分析工具</w:t>
            </w:r>
          </w:p>
        </w:tc>
        <w:tc>
          <w:tcPr>
            <w:tcW w:w="5956" w:type="dxa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郑成良：上海交通大学原副校长、上海交通大学讲席教授、上海交通大学总法律顾问、上海交通大学文科学术委员主任，吉林大学法学博士，国家二级高级法官，教育部社会科学委员会法学学部委员，中国法理学研究会副会长，中国法学教育研究会副会长。</w:t>
            </w:r>
          </w:p>
        </w:tc>
      </w:tr>
      <w:tr w:rsidR="00BC75B0" w:rsidTr="00B908C2">
        <w:trPr>
          <w:trHeight w:val="2853"/>
        </w:trPr>
        <w:tc>
          <w:tcPr>
            <w:tcW w:w="3263" w:type="dxa"/>
            <w:vAlign w:val="center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/>
                <w:sz w:val="32"/>
                <w:szCs w:val="28"/>
              </w:rPr>
              <w:t>前沿科技与法律服务业的变革</w:t>
            </w:r>
          </w:p>
        </w:tc>
        <w:tc>
          <w:tcPr>
            <w:tcW w:w="5956" w:type="dxa"/>
          </w:tcPr>
          <w:p w:rsidR="00BC75B0" w:rsidRDefault="00BC75B0" w:rsidP="00B908C2">
            <w:pPr>
              <w:widowControl/>
              <w:spacing w:line="580" w:lineRule="exact"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/>
                <w:sz w:val="32"/>
                <w:szCs w:val="28"/>
              </w:rPr>
              <w:t>李学尧：现任上海交通大学凯原法学院教授、法律交叉学科负责人、法律与认知科学研究中心主任、上海交通大学教育立法与咨询服务基地执行主任，上海市法学会法社会学研究会副会长</w:t>
            </w:r>
            <w:r>
              <w:rPr>
                <w:rFonts w:ascii="仿宋" w:eastAsia="仿宋" w:hAnsi="仿宋" w:hint="eastAsia"/>
                <w:sz w:val="32"/>
                <w:szCs w:val="28"/>
              </w:rPr>
              <w:t>。</w:t>
            </w:r>
          </w:p>
        </w:tc>
      </w:tr>
      <w:tr w:rsidR="00BC75B0" w:rsidTr="00B908C2">
        <w:trPr>
          <w:trHeight w:val="1103"/>
        </w:trPr>
        <w:tc>
          <w:tcPr>
            <w:tcW w:w="3263" w:type="dxa"/>
            <w:vAlign w:val="center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/>
                <w:sz w:val="32"/>
                <w:szCs w:val="28"/>
              </w:rPr>
              <w:t>宏观经济形势</w:t>
            </w:r>
          </w:p>
        </w:tc>
        <w:tc>
          <w:tcPr>
            <w:tcW w:w="5956" w:type="dxa"/>
          </w:tcPr>
          <w:p w:rsidR="00BC75B0" w:rsidRDefault="00BC75B0" w:rsidP="00B908C2">
            <w:pPr>
              <w:widowControl/>
              <w:spacing w:line="580" w:lineRule="exact"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/>
                <w:sz w:val="32"/>
                <w:szCs w:val="28"/>
              </w:rPr>
              <w:t>钱春海：中国浦东干部学院教学研究部经济学教授。</w:t>
            </w:r>
          </w:p>
        </w:tc>
      </w:tr>
      <w:tr w:rsidR="00BC75B0" w:rsidTr="00B908C2">
        <w:trPr>
          <w:trHeight w:val="589"/>
        </w:trPr>
        <w:tc>
          <w:tcPr>
            <w:tcW w:w="3263" w:type="dxa"/>
            <w:vAlign w:val="center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一体化的缘起、实践与展望—以植德律所为例</w:t>
            </w:r>
          </w:p>
        </w:tc>
        <w:tc>
          <w:tcPr>
            <w:tcW w:w="5956" w:type="dxa"/>
          </w:tcPr>
          <w:p w:rsidR="00BC75B0" w:rsidRDefault="00BC75B0" w:rsidP="00B908C2">
            <w:pPr>
              <w:widowControl/>
              <w:spacing w:line="580" w:lineRule="exact"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/>
                <w:sz w:val="32"/>
                <w:szCs w:val="28"/>
              </w:rPr>
              <w:t>何佳伟：植德战略合伙人、首席战略与发展官。哈佛大学法学</w:t>
            </w:r>
            <w:r>
              <w:rPr>
                <w:rFonts w:ascii="仿宋" w:eastAsia="仿宋" w:hAnsi="仿宋" w:hint="eastAsia"/>
                <w:sz w:val="32"/>
                <w:szCs w:val="28"/>
              </w:rPr>
              <w:t>硕</w:t>
            </w:r>
            <w:r>
              <w:rPr>
                <w:rFonts w:ascii="仿宋" w:eastAsia="仿宋" w:hAnsi="仿宋"/>
                <w:sz w:val="32"/>
                <w:szCs w:val="28"/>
              </w:rPr>
              <w:t>士，清华大学法学学士。何佳伟先生拥有美国纽约州</w:t>
            </w:r>
            <w:r>
              <w:rPr>
                <w:rFonts w:ascii="仿宋" w:eastAsia="仿宋" w:hAnsi="仿宋"/>
                <w:sz w:val="32"/>
                <w:szCs w:val="28"/>
              </w:rPr>
              <w:lastRenderedPageBreak/>
              <w:t>律师执业资格，担任华东政法大学法律硕士专业实训指导教师</w:t>
            </w:r>
            <w:r>
              <w:rPr>
                <w:rFonts w:ascii="仿宋" w:eastAsia="仿宋" w:hAnsi="仿宋" w:hint="eastAsia"/>
                <w:sz w:val="32"/>
                <w:szCs w:val="28"/>
              </w:rPr>
              <w:t>。</w:t>
            </w:r>
          </w:p>
        </w:tc>
      </w:tr>
      <w:tr w:rsidR="00BC75B0" w:rsidTr="00B908C2">
        <w:trPr>
          <w:trHeight w:val="2269"/>
        </w:trPr>
        <w:tc>
          <w:tcPr>
            <w:tcW w:w="3263" w:type="dxa"/>
            <w:vAlign w:val="center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/>
                <w:sz w:val="32"/>
                <w:szCs w:val="28"/>
              </w:rPr>
              <w:lastRenderedPageBreak/>
              <w:t>律师业务的营销</w:t>
            </w:r>
          </w:p>
        </w:tc>
        <w:tc>
          <w:tcPr>
            <w:tcW w:w="5956" w:type="dxa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倪伟：中国人民大学律师学院兼职教授、上海律协商事争议解决业务研究委员会主任，上海虹桥正瀚律师事务所合伙人、仲裁员。</w:t>
            </w:r>
          </w:p>
        </w:tc>
      </w:tr>
      <w:tr w:rsidR="00BC75B0" w:rsidTr="00B908C2">
        <w:trPr>
          <w:trHeight w:val="1823"/>
        </w:trPr>
        <w:tc>
          <w:tcPr>
            <w:tcW w:w="3263" w:type="dxa"/>
            <w:vAlign w:val="center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/>
                <w:sz w:val="32"/>
                <w:szCs w:val="28"/>
              </w:rPr>
              <w:t>律师的职业定位与律所的企业化经营</w:t>
            </w:r>
          </w:p>
        </w:tc>
        <w:tc>
          <w:tcPr>
            <w:tcW w:w="5956" w:type="dxa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乔文骏：中伦律师事务所的联席管理合伙人，兼任中华全国律师协会理事、第三届浦东新区人大代表、上海市律协副会长。</w:t>
            </w:r>
          </w:p>
        </w:tc>
      </w:tr>
      <w:tr w:rsidR="00BC75B0" w:rsidTr="00B908C2">
        <w:tc>
          <w:tcPr>
            <w:tcW w:w="3263" w:type="dxa"/>
            <w:vAlign w:val="center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/>
                <w:sz w:val="32"/>
                <w:szCs w:val="28"/>
              </w:rPr>
              <w:t>律师沟通与谈判技巧</w:t>
            </w:r>
          </w:p>
        </w:tc>
        <w:tc>
          <w:tcPr>
            <w:tcW w:w="5956" w:type="dxa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黄荣楠：现为君合上海分所副主任，黄律师对于争议解决、娱乐传媒、互联网与新科技、不正当竞争等领域有丰富的经验。</w:t>
            </w:r>
          </w:p>
        </w:tc>
      </w:tr>
      <w:tr w:rsidR="00BC75B0" w:rsidTr="00B908C2">
        <w:tc>
          <w:tcPr>
            <w:tcW w:w="3263" w:type="dxa"/>
            <w:vAlign w:val="center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/>
                <w:sz w:val="32"/>
                <w:szCs w:val="28"/>
              </w:rPr>
              <w:t>青年律师的专业化拓展之路</w:t>
            </w:r>
          </w:p>
        </w:tc>
        <w:tc>
          <w:tcPr>
            <w:tcW w:w="5956" w:type="dxa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贾明军：北京市中伦（上海）律师事务所合伙人。2012、2013 连续两年被英国权威律师研究机构钱伯斯（Chambers）评为亚洲最佳私人财富律师。</w:t>
            </w:r>
          </w:p>
        </w:tc>
      </w:tr>
      <w:tr w:rsidR="00BC75B0" w:rsidTr="00B908C2">
        <w:tc>
          <w:tcPr>
            <w:tcW w:w="3263" w:type="dxa"/>
            <w:vAlign w:val="center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律师事务所分配方式探究、律师商业思维的底层逻辑、专业服务业商业逻辑下律师的获</w:t>
            </w:r>
            <w:r>
              <w:rPr>
                <w:rFonts w:ascii="仿宋" w:eastAsia="仿宋" w:hAnsi="仿宋" w:hint="eastAsia"/>
                <w:sz w:val="32"/>
                <w:szCs w:val="28"/>
              </w:rPr>
              <w:lastRenderedPageBreak/>
              <w:t>客方式、后疫情时代律所改革与建设的探索</w:t>
            </w:r>
          </w:p>
        </w:tc>
        <w:tc>
          <w:tcPr>
            <w:tcW w:w="5956" w:type="dxa"/>
          </w:tcPr>
          <w:p w:rsidR="00BC75B0" w:rsidRDefault="00BC75B0" w:rsidP="00B908C2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lastRenderedPageBreak/>
              <w:t>田庭峰：上海申浩律师事务所主任（负责人）、上海市WTO研究会副会长、上海市静安区人大代表、上海市律协破产与不良资产业务研究委员会委员。</w:t>
            </w:r>
          </w:p>
        </w:tc>
      </w:tr>
    </w:tbl>
    <w:p w:rsidR="00BC75B0" w:rsidRDefault="00BC75B0" w:rsidP="00BC75B0">
      <w:pPr>
        <w:spacing w:line="580" w:lineRule="exact"/>
        <w:rPr>
          <w:rFonts w:ascii="仿宋" w:eastAsia="仿宋" w:hAnsi="仿宋"/>
          <w:sz w:val="32"/>
          <w:szCs w:val="28"/>
        </w:rPr>
      </w:pPr>
    </w:p>
    <w:p w:rsidR="00060772" w:rsidRPr="00BC75B0" w:rsidRDefault="00BC75B0">
      <w:bookmarkStart w:id="0" w:name="_GoBack"/>
      <w:bookmarkEnd w:id="0"/>
    </w:p>
    <w:sectPr w:rsidR="00060772" w:rsidRPr="00BC75B0">
      <w:footerReference w:type="default" r:id="rId4"/>
      <w:pgSz w:w="11906" w:h="16838"/>
      <w:pgMar w:top="2098" w:right="1474" w:bottom="181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微软雅黑"/>
    <w:panose1 w:val="020B0604020202020204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3BB" w:rsidRDefault="00BC75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33E5D" wp14:editId="49AC6C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12065" b="146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E43BB" w:rsidRDefault="00BC75B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33E5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05pt;height:10.8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" filled="f" stroked="f" strokeweight=".5pt">
              <v:textbox style="mso-fit-shape-to-text:t" inset="0,0,0,0">
                <w:txbxContent>
                  <w:p w:rsidR="006E43BB" w:rsidRDefault="00BC75B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B0"/>
    <w:rsid w:val="00BC75B0"/>
    <w:rsid w:val="00C11643"/>
    <w:rsid w:val="00E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9EA096-02BB-0541-81DE-B5EC8E8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5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C75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qFormat/>
    <w:rsid w:val="00BC75B0"/>
    <w:rPr>
      <w:rFonts w:ascii="Times New Roman" w:eastAsia="宋体" w:hAnsi="Times New Roman" w:cs="Times New Roman"/>
      <w:sz w:val="18"/>
      <w:szCs w:val="20"/>
    </w:rPr>
  </w:style>
  <w:style w:type="table" w:styleId="a5">
    <w:name w:val="Table Grid"/>
    <w:basedOn w:val="a1"/>
    <w:uiPriority w:val="39"/>
    <w:qFormat/>
    <w:rsid w:val="00BC75B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2023-07-12T08:53:00Z</dcterms:created>
  <dcterms:modified xsi:type="dcterms:W3CDTF">2023-07-12T08:54:00Z</dcterms:modified>
</cp:coreProperties>
</file>